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 TANTÁRGY ADATLAPJA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i w:val="1"/>
          <w:iCs w:val="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Kulturális marketing és menedzsment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Egyetemi tanév 2025-2026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right="-625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Babeş-Bolyai Tudományegyetem, Kolozsvár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Előadóművészetek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Teatrológia/teatrológus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nappali szak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30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75"/>
        <w:gridCol w:w="285"/>
        <w:gridCol w:w="420"/>
        <w:gridCol w:w="1140"/>
        <w:gridCol w:w="570"/>
        <w:gridCol w:w="1950"/>
        <w:gridCol w:w="885"/>
        <w:gridCol w:w="1695"/>
        <w:gridCol w:w="285"/>
        <w:gridCol w:w="1425"/>
        <w:tblGridChange w:id="0">
          <w:tblGrid>
            <w:gridCol w:w="1875"/>
            <w:gridCol w:w="285"/>
            <w:gridCol w:w="420"/>
            <w:gridCol w:w="1140"/>
            <w:gridCol w:w="570"/>
            <w:gridCol w:w="1950"/>
            <w:gridCol w:w="885"/>
            <w:gridCol w:w="1695"/>
            <w:gridCol w:w="285"/>
            <w:gridCol w:w="1425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A tantárgy neve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Kulturális marketing és menedzsment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Codul disciplinei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VLM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5706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Márton Imola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Demeter Katalin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2.4.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Tanulmányi év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right="-203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2.5.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Félév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II.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88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2.6.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Értékelés módja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2.7.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3F">
      <w:pPr>
        <w:spacing w:after="0" w:lineRule="auto"/>
        <w:ind w:right="-765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oktatási tevékenység féléves óraszáma)</w:t>
      </w:r>
    </w:p>
    <w:sdt>
      <w:sdtPr>
        <w:lock w:val="contentLocked"/>
        <w:id w:val="65679428"/>
        <w:tag w:val="goog_rdk_0"/>
      </w:sdtPr>
      <w:sdtContent>
        <w:tbl>
          <w:tblPr>
            <w:tblStyle w:val="Table3"/>
            <w:tblpPr w:leftFromText="180" w:rightFromText="180" w:topFromText="0" w:bottomFromText="0" w:vertAnchor="text" w:horzAnchor="text" w:tblpX="-420" w:tblpY="0"/>
            <w:tblW w:w="10485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  <w:tblGridChange w:id="0">
              <w:tblGrid>
                <w:gridCol w:w="3539"/>
                <w:gridCol w:w="709"/>
                <w:gridCol w:w="2126"/>
                <w:gridCol w:w="567"/>
                <w:gridCol w:w="1701"/>
                <w:gridCol w:w="1276"/>
                <w:gridCol w:w="567"/>
              </w:tblGrid>
            </w:tblGridChange>
          </w:tblGrid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bottom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41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3.1. Heti óraszám  </w:t>
                </w:r>
              </w:p>
            </w:tc>
            <w:tc>
              <w:tcPr>
                <w:tcBorders>
                  <w:bottom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42">
                <w:pPr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tcBorders>
                  <w:bottom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43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melyből: 3.2 előadás</w:t>
                </w:r>
              </w:p>
            </w:tc>
            <w:tc>
              <w:tcPr>
                <w:tcBorders>
                  <w:bottom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44">
                <w:pPr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gridSpan w:val="2"/>
                <w:tcBorders>
                  <w:bottom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45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3.3 szeminárium/labor/projekt</w:t>
                </w:r>
              </w:p>
            </w:tc>
            <w:tc>
              <w:tcPr>
                <w:tcBorders>
                  <w:bottom w:color="000000" w:space="0" w:sz="4" w:val="single"/>
                </w:tcBorders>
                <w:shd w:fill="auto" w:val="clear"/>
                <w:vAlign w:val="center"/>
              </w:tcPr>
              <w:p w:rsidR="00000000" w:rsidDel="00000000" w:rsidP="00000000" w:rsidRDefault="00000000" w:rsidRPr="00000000" w14:paraId="00000047">
                <w:pPr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2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8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3.4. Tantervben szereplő összóraszám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9">
                <w:pPr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42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A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melyből: 3.5 előadás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B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14</w:t>
                </w:r>
              </w:p>
            </w:tc>
            <w:tc>
              <w:tcPr>
                <w:gridSpan w:val="2"/>
                <w:shd w:fill="auto" w:val="clear"/>
                <w:vAlign w:val="center"/>
              </w:tcPr>
              <w:p w:rsidR="00000000" w:rsidDel="00000000" w:rsidP="00000000" w:rsidRDefault="00000000" w:rsidRPr="00000000" w14:paraId="0000004C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3.6 szeminárium/labor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E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28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4F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Az egyéni tanulmányi idő (ET) és az önképzési tevékenységekre (ÖT) szánt idő elosztása: 1 félév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5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óra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56">
                <w:pPr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tankönyv, a jegyzet, a szakirodalom vagy saját jegyzetek tanulmányozása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C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10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5D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Könyvtárban, elektronikus adatbázisokban vagy terepen való további tájékozódás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3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10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64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Szemináriumok / laborok, házi feladatok, portfóliók, referátumok, esszék kidolgozása 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A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28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6B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Egyéni készségfejlesztés (tutorálás)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1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6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72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Vizsgák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8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4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6"/>
                <w:vAlign w:val="center"/>
              </w:tcPr>
              <w:p w:rsidR="00000000" w:rsidDel="00000000" w:rsidP="00000000" w:rsidRDefault="00000000" w:rsidRPr="00000000" w14:paraId="00000079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Más tevékenységek: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F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5"/>
                <w:shd w:fill="auto" w:val="clear"/>
                <w:vAlign w:val="center"/>
              </w:tcPr>
              <w:p w:rsidR="00000000" w:rsidDel="00000000" w:rsidP="00000000" w:rsidRDefault="00000000" w:rsidRPr="00000000" w14:paraId="00000080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3.7. Egyéni tanulmányi idő (ET) és önképzési tevékenységekre (ÖT) szánt idő összóraszáma</w:t>
                </w:r>
              </w:p>
            </w:tc>
            <w:tc>
              <w:tcPr>
                <w:gridSpan w:val="2"/>
                <w:shd w:fill="auto" w:val="clear"/>
                <w:vAlign w:val="center"/>
              </w:tcPr>
              <w:p w:rsidR="00000000" w:rsidDel="00000000" w:rsidP="00000000" w:rsidRDefault="00000000" w:rsidRPr="00000000" w14:paraId="00000085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58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5"/>
                <w:shd w:fill="auto" w:val="clear"/>
                <w:vAlign w:val="center"/>
              </w:tcPr>
              <w:p w:rsidR="00000000" w:rsidDel="00000000" w:rsidP="00000000" w:rsidRDefault="00000000" w:rsidRPr="00000000" w14:paraId="00000087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3.8. A félév összóraszáma</w:t>
                </w:r>
              </w:p>
            </w:tc>
            <w:tc>
              <w:tcPr>
                <w:gridSpan w:val="2"/>
                <w:shd w:fill="auto" w:val="clear"/>
                <w:vAlign w:val="center"/>
              </w:tcPr>
              <w:p w:rsidR="00000000" w:rsidDel="00000000" w:rsidP="00000000" w:rsidRDefault="00000000" w:rsidRPr="00000000" w14:paraId="0000008C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100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5"/>
                <w:shd w:fill="auto" w:val="clear"/>
                <w:vAlign w:val="center"/>
              </w:tcPr>
              <w:p w:rsidR="00000000" w:rsidDel="00000000" w:rsidP="00000000" w:rsidRDefault="00000000" w:rsidRPr="00000000" w14:paraId="0000008E">
                <w:pPr>
                  <w:keepNext w:val="1"/>
                  <w:spacing w:after="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3.9. Kreditszám</w:t>
                </w:r>
              </w:p>
            </w:tc>
            <w:tc>
              <w:tcPr>
                <w:gridSpan w:val="2"/>
                <w:shd w:fill="auto" w:val="clear"/>
                <w:vAlign w:val="center"/>
              </w:tcPr>
              <w:p w:rsidR="00000000" w:rsidDel="00000000" w:rsidP="00000000" w:rsidRDefault="00000000" w:rsidRPr="00000000" w14:paraId="00000093">
                <w:pPr>
                  <w:keepNext w:val="1"/>
                  <w:spacing w:after="0" w:line="240" w:lineRule="auto"/>
                  <w:jc w:val="center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4</w:t>
                </w:r>
              </w:p>
            </w:tc>
          </w:tr>
        </w:tbl>
      </w:sdtContent>
    </w:sdt>
    <w:p w:rsidR="00000000" w:rsidDel="00000000" w:rsidP="00000000" w:rsidRDefault="00000000" w:rsidRPr="00000000" w14:paraId="00000095">
      <w:pPr>
        <w:spacing w:after="0" w:lineRule="auto"/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sdt>
      <w:sdtPr>
        <w:lock w:val="contentLocked"/>
        <w:id w:val="-1005496233"/>
        <w:tag w:val="goog_rdk_1"/>
      </w:sdtPr>
      <w:sdtContent>
        <w:tbl>
          <w:tblPr>
            <w:tblStyle w:val="Table4"/>
            <w:tblW w:w="10491.0" w:type="dxa"/>
            <w:jc w:val="left"/>
            <w:tblInd w:w="-431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2127"/>
            <w:gridCol w:w="8364"/>
            <w:tblGridChange w:id="0">
              <w:tblGrid>
                <w:gridCol w:w="2127"/>
                <w:gridCol w:w="8364"/>
              </w:tblGrid>
            </w:tblGridChange>
          </w:tblGrid>
          <w:tr>
            <w:trPr>
              <w:cantSplit w:val="0"/>
              <w:trHeight w:val="284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97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4.1. Tantervi</w:t>
                </w:r>
              </w:p>
            </w:tc>
            <w:tc>
              <w:tcPr>
                <w:tcBorders>
                  <w:bottom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98">
                <w:pPr>
                  <w:spacing w:after="0" w:line="240" w:lineRule="auto"/>
                  <w:ind w:left="72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-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99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4.2. Kompetenciabeli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A">
                <w:pPr>
                  <w:spacing w:after="0" w:line="240" w:lineRule="auto"/>
                  <w:ind w:left="72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-</w:t>
                </w:r>
              </w:p>
            </w:tc>
          </w:tr>
        </w:tbl>
      </w:sdtContent>
    </w:sdt>
    <w:p w:rsidR="00000000" w:rsidDel="00000000" w:rsidP="00000000" w:rsidRDefault="00000000" w:rsidRPr="00000000" w14:paraId="0000009B">
      <w:pPr>
        <w:spacing w:after="0" w:lineRule="auto"/>
        <w:ind w:right="-765"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sdt>
      <w:sdtPr>
        <w:lock w:val="contentLocked"/>
        <w:id w:val="962269985"/>
        <w:tag w:val="goog_rdk_2"/>
      </w:sdtPr>
      <w:sdtContent>
        <w:tbl>
          <w:tblPr>
            <w:tblStyle w:val="Table5"/>
            <w:tblW w:w="10439.0" w:type="dxa"/>
            <w:jc w:val="left"/>
            <w:tblInd w:w="-431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4821"/>
            <w:gridCol w:w="5618"/>
            <w:tblGridChange w:id="0">
              <w:tblGrid>
                <w:gridCol w:w="4821"/>
                <w:gridCol w:w="5618"/>
              </w:tblGrid>
            </w:tblGridChange>
          </w:tblGrid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center"/>
              </w:tcPr>
              <w:p w:rsidR="00000000" w:rsidDel="00000000" w:rsidP="00000000" w:rsidRDefault="00000000" w:rsidRPr="00000000" w14:paraId="0000009D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40" w:before="4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5.1. Az előadás lebonyolításának feltételei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center"/>
              </w:tcPr>
              <w:p w:rsidR="00000000" w:rsidDel="00000000" w:rsidP="00000000" w:rsidRDefault="00000000" w:rsidRPr="00000000" w14:paraId="0000009E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Projektorral ellátott terem, infrastruktúra egyes témákhoz (vetítő, laptop, internet), könyvek valamilyen hordozón, MSTeams felület  </w:t>
                </w:r>
              </w:p>
              <w:p w:rsidR="00000000" w:rsidDel="00000000" w:rsidP="00000000" w:rsidRDefault="00000000" w:rsidRPr="00000000" w14:paraId="0000009F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Előadásokon való részvétel 70%-ban kötelező  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center"/>
              </w:tcPr>
              <w:p w:rsidR="00000000" w:rsidDel="00000000" w:rsidP="00000000" w:rsidRDefault="00000000" w:rsidRPr="00000000" w14:paraId="000000A0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40" w:before="40" w:line="240" w:lineRule="auto"/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b w:val="1"/>
                    <w:bCs w:val="1"/>
                    <w:sz w:val="20"/>
                    <w:szCs w:val="20"/>
                    <w:rtl w:val="0"/>
                  </w:rPr>
                  <w:t xml:space="preserve">5.2. A szeminárium / labor lebonyolításának feltételei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center"/>
              </w:tcPr>
              <w:p w:rsidR="00000000" w:rsidDel="00000000" w:rsidP="00000000" w:rsidRDefault="00000000" w:rsidRPr="00000000" w14:paraId="000000A1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Infrastruktúra egyes témákhoz (vetítő, laptop, internet), az olvasott ill. elemzendő anyag valamilyen hordozón, MSTeams felület;  </w:t>
                </w:r>
              </w:p>
              <w:p w:rsidR="00000000" w:rsidDel="00000000" w:rsidP="00000000" w:rsidRDefault="00000000" w:rsidRPr="00000000" w14:paraId="000000A2">
                <w:pPr>
                  <w:pBdr>
                    <w:top w:color="000000" w:space="0" w:sz="0" w:val="none"/>
                    <w:left w:color="000000" w:space="0" w:sz="0" w:val="none"/>
                    <w:bottom w:color="000000" w:space="0" w:sz="0" w:val="none"/>
                    <w:right w:color="000000" w:space="0" w:sz="0" w:val="none"/>
                    <w:between w:color="000000" w:space="0" w:sz="0" w:val="none"/>
                  </w:pBd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Szemináriumon való részvétel 90%-ban kötelező  </w:t>
                </w:r>
              </w:p>
            </w:tc>
          </w:tr>
        </w:tbl>
      </w:sdtContent>
    </w:sdt>
    <w:p w:rsidR="00000000" w:rsidDel="00000000" w:rsidP="00000000" w:rsidRDefault="00000000" w:rsidRPr="00000000" w14:paraId="000000A3">
      <w:pPr>
        <w:spacing w:after="0" w:line="240" w:lineRule="auto"/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0"/>
        <w:gridCol w:w="8670"/>
        <w:tblGridChange w:id="0">
          <w:tblGrid>
            <w:gridCol w:w="1830"/>
            <w:gridCol w:w="8670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Kulturális ökoszisztéma: A hallgató ismeri a kulturális szervezetek (állami, magán, civil) szerkezetét és dinamikáját, valamint a kreatív iparágak sajátosságait.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Marketing és közönség: A hallgató ismeri a kulturális marketingmixet, a branding stratégiákat, a közönségfejlesztést (audience development) és a digitális promóciót.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Menedzsment és forrásteremtés (fundraising): A hallgató ismeri egy kulturális projekt szakaszait, a közfinanszírozási forrásokat (európai uniós alapok, AFCN – Nemzeti Kulturális Alap Alapítvány), valamint a szponzorációs és mecenatúra-technikákat.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Jogi és etikai keretek: A hallgató ismeri a területre vonatkozó jogszabályokat (szerzői jogok, a művész státusza), valamint a kultúrában alkalmazandó etikai, inklúziós és fenntarthatósági normákat.</w:t>
            </w:r>
          </w:p>
        </w:tc>
      </w:tr>
      <w:tr>
        <w:trPr>
          <w:cantSplit w:val="1"/>
          <w:trHeight w:val="1641.308593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Szakmai kompetenciák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Tervezés és stratégia: A hallgató képes az erőforrásokhoz és a célközönséghez igazodó marketingtervek és menedzsmentstratégiák kidolgozására.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Pénzügyi menedzsment: A hallgató képes felépíteni és nyomon követni egy kulturális projekt költségvetését, valamint elkészíteni a kapcsolódó pénzügyi beszámolókat.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Kommunikáció és PR: A hallgató képes promóciós kampányok megtervezésére, sajtóanyagok megfogalmazására és az online kommunikáció kezelésére.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Hatásvizsgálat: A hallgató képes kutatási eszközöket (kérdőíveket, elemzéseket) alkalmazni egy esemény sikerének és társadalmi hatásának mérésére.</w:t>
            </w:r>
          </w:p>
        </w:tc>
      </w:tr>
      <w:tr>
        <w:trPr>
          <w:cantSplit w:val="1"/>
          <w:trHeight w:val="115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Transverzális kompetenciák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Művész-menedzser mediáció: A hallgató képes egyensúlyt teremteni a szabad művészi alkotás és egy projekt adminisztratív, pénzügyi, valamint logisztikai követelményei között.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Vezetői készségek (leadership): A hallgató képes vegyes összetételű csapatok (művészek, technikusok, önkéntesek) koordinálására, a feladatok delegálására és a konfliktusok hatékony kezelésére.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Kockázatmenedzsment: A hallgató képes a gyors reakcióra, valamint az élő eseményekre jellemző váratlan problémák és válsághelyzetek megoldására.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Közösségi szerepvállalás: A hallgató támogatja a kulturális hozzáférhetőséget, inkluzív és a közösség, illetve a különféle közönségrétegek számára releváns projekteket hozva létre.</w:t>
            </w:r>
          </w:p>
        </w:tc>
      </w:tr>
    </w:tbl>
    <w:p w:rsidR="00000000" w:rsidDel="00000000" w:rsidP="00000000" w:rsidRDefault="00000000" w:rsidRPr="00000000" w14:paraId="000000B6">
      <w:pPr>
        <w:spacing w:after="0" w:line="24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elsajátítandó jellemző kompetenciák alapján)</w:t>
      </w:r>
      <w:r w:rsidDel="00000000" w:rsidR="00000000" w:rsidRPr="00000000">
        <w:rPr>
          <w:rtl w:val="0"/>
        </w:rPr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94"/>
        <w:gridCol w:w="7797"/>
        <w:tblGridChange w:id="0">
          <w:tblGrid>
            <w:gridCol w:w="2694"/>
            <w:gridCol w:w="7797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célja, hogy a hallgatók szervesen beépítsék az elméleti menedzsment- és marketingismereteket a kulturális projektek és a kreatív iparágak gyakorlati irányításába és promóciójába. A kurzus abból a kiindulópontból építkezik, hogy a kulturális menedzsment nem csupán egyszerű logisztikai adminisztráció, hanem egy szigorú stratégiai tevékenység, amelynek célja a művészeti alkotás pénzügyi fenntarthatóságának biztosítása és a közösséggel való újraösszekapcsolása. A félév során a hallgatók megvizsgálják, hogyan fordítható le a művészi vizió megvalósítható, gazdaságilag életképes és társadalmilag releváns cselekvési tervekre, miközben elemzik a digitalizáció által hozott változásokat a közönséggel való interakcióban és az erőforrások bevonásában.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célja továbbá, hogy a hallgatók elmélyítsék operatív kompetenciáikat a költségvetés-tervezés, a forrásteremtés (fundraising, szponzoráció) és a közönségfejlesztés (audience development) terén, kísérletezve a hagyományos és a digitális marketing specifikus eszközeivel. Kiemelt szerepet kap az alkalmazott jellegű műhelymunka: a hallgatók szimulálják egy kulturális projekt teljes tervezését – a finanszírozási pályázat megírásától kezdve a PR-tervig és a hatásvizsgálatig –, mindezt a csoporttársak visszajelzéseire és szakmai mentorálásra alapozva (peer review és esetelemzés). A tantárgy különös figyelmet fordít a független és az állami szektor, valamint a hibrid kreatív iparágak szervezeti sajátosságaira. A kurzusok interaktív workshopok formájában zajlanak, ahol a tanulási folyamat magvát a kultúra hozzáférhetőségéről szóló etikai vita és a válságmenedzsment gyakorlati problémamegoldása alkotja.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spacing w:after="0" w:line="240" w:lineRule="auto"/>
        <w:ind w:hanging="426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  <w:r w:rsidDel="00000000" w:rsidR="00000000" w:rsidRPr="00000000">
        <w:rPr>
          <w:rtl w:val="0"/>
        </w:rPr>
      </w:r>
    </w:p>
    <w:tbl>
      <w:tblPr>
        <w:tblStyle w:val="Table8"/>
        <w:tblW w:w="106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25"/>
        <w:gridCol w:w="3120"/>
        <w:gridCol w:w="3675"/>
        <w:tblGridChange w:id="0">
          <w:tblGrid>
            <w:gridCol w:w="3825"/>
            <w:gridCol w:w="3120"/>
            <w:gridCol w:w="3675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8.1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1-2. Bevezetés és a kulturális szektor sajátosságai. A kulturális menedzser szerepe.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bevezető beszélgetés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Kultúra mint rendszer és szektor, a romániai magyar kulturális szféra. Intézménytípusok (állami, önkormányzati, civil és piaci modellek). Kulturális érték vs. piaci logika. Stratégiai gondolkodás.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3-4. A kulturális projektek tervezése. Stratégia és koncepció.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ind w:left="320" w:firstLine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esettanulmányok, beszélgetés.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Projektszemlélet és projektciklus. Lasswell-módszer, helyzetértékelés, PESTEL és SWOT analízis. Logikai keretmátrix és ütemterv.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5-6.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Kulturmarketing alapfogalmak és fogyasztás. Közönségelérés.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alapfogalmak tisztázása.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Kulturális termék és élmény, szolgáltatásmarketing (HIPI-modell, 7P-modell). Közönségkutatás, közönségszegmentáció és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Audience Development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(közönségépítés).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7-8. Brandépítés, kommunikáció és kampánytervezés.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kampányterv-készítés, elemzés, filmnézés (Exit Through the Gift Shop)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Intézményi identitás, imázs, arculat és márkaépítés. Kommunikációs csatornák, storytelling, online és offline médiaterv, social media és tartalommarketing.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9-10.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Finanszírozás, forrásteremtés és költségvetés.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beszélgetés, esettanulmányok.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Finanszírozási és bevételi modellek, állami támogatás. Költségvetési struktúra (kőszínházak/intézmények vs. független társulatok éves költségvetése). Fundraising, szponzorizáció, mecenatúra.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11-12. Pályázati rendszerek és a pályázatírás gyakorlata.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beszélgetés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Hazai és nemzetközi pályázati struktúrák, színházi és kulturális pályázatokat meghirdető szervek (AFCN, UNITER, Communitas, NKA, BGA stb.). Pályázati adatlap felépítése és módszertana.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13-14. Menedzsment a gyakorlatban: Kockázatok, krízisek és hatásmérés.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filmnézés és elemzés (The Square).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Humánerőforrás- és stakeholder-menedzsment. Idő- és kockázatelemzés, kríziskommunikáció és reputációmenedzsment. Hatásmérés, kvalitatív és kvantitatív indikátorok, fenntarthatóság.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1. Kulturális intézménytérkép és helyzetfeltárás.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after="240" w:before="24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Csoportmunka, ötletbörze.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helyi kulturális ökoszisztéma feltérképezése, működő intézménytípusok és fenntartói/működési modellek azonosítása.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féléves projektötlet generálása és validálása.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240" w:before="24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Brainstorming, prezentáció.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Kulturális projektötletek koncepciójának kidolgozása. Kreatív és problémamegoldó gondolkodás. Villámprezentációk (Elevator Pitch) és intézményi modellek összevetése (nonprofit vs. piaci működés).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Stratégiai tervezés I.: Helyzetértékelés és SWOT.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240" w:before="24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Műhelymunka, csoportos elemzés.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választott projekt környezetének elemzése (helyzetértékelé). SWOT analízis készítése a belső erősségek és külső kockázatok azonosítására.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4. Stratégiai tervezés II.: Stakeholder-menedzsment.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spacing w:after="240" w:before="24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Műhelymunka, térképezés.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projektben részt vevő felek, partnerek, finanszírozók és érintettek azonosítása és strukturálása (Stakeholder elemzés és menedzsment).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5. Kulturális marketing I.: Közönségszegmentáció.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Gyakorlati elemzés, profilalkotás.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célcsoportok, direkt és indirekt kedvezményezettek pontos meghatározása. Fiktív fogyasztói profilok (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Persona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) felépítése, közönségszegmentációs technikák.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6. Kulturális marketing II.: Pozicionálás és termék-élmény.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Esettanulmányok, koncepcióalkotás.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projekt egyedi értékajánlatának megfogalmazása. A kulturális termék/esemény élménykomponenseinek megtervezése, a kulturális érték és a közönségigény összehangolása.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7. Kommunikációs és PR-terv I.: Storytelling és arculat.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Kreatív és praktikus írás, műhelymunka.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projekt kulcsüzeneteinek megfogalmazása (storytelling). Az intézményi/projektszintű identitás, imázs és arculati elemek vizuális és narratív keretezése.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8. Kommunikációs és PR-terv II.: Online és offline kampány.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Kampányterv-készítés, médiaterv.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Konkrét kommunikációs és médiaterv kidolgozása. Promóciós és vizualitási stratégia, közösségi média kampány (social media) és tartalommarketing tervezése a projekthez.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9. Projektmenedzsment: Logikai keretmátrix és ütemterv.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Strukturált tervezés, egyéni korrekció.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projekt céljainak, tevékenységeinek, számszerűsíthető eredményeinek és termékeinek logikai rendszerbe foglalása. Ütemterv (időmenedzsment) készítése.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10. Financiális tervezés I.: Költségvetés-készítés (Kiadások).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Excel-műhelymunka, számítások.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Pályázati és projektköltségvetés tervezése. Költségtípusok részletes kidolgozása: személyi kifizetések (szerződéstípusok, adók, bruttó/nettó összegek, járulékok) és dologi kifizetések, számlás kiadások.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11. Financiális tervezés II.: Forrásteremtési és bevételi terv.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Műhelymunka, konzultáció.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Finanszírozási terv, bevételi modellek (pályázati támogatás, szponzorizáció, jegybevétel) integrálása a költségvetésbe. Adminisztratív költségek és árajánlatok kezelése.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12. Pályázatírási tréning: Az AFCN űrlap szöveges része.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Gyakorlati szövegírás, konzultáció.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hivatalos pályázati adatlapok szöveges kitöltése: a relevancia, az innovációs jelleg,, a módszertan, a projekt promoválása és láthatósága.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13. Kockázatelemzés és a projekttervek kölcsönös szakmai értékelése (Peer Review).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Szerepjáték, csoportos reflexió.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Kockázatok és megoldások , folyamatosság és fenntarthatóság tervezése. Váratlan helyzetek (kríziskommunikáció, forrásmegvonás) szimulálása. A projektek kölcsönös kritikai felülvizsgálata.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spacing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14. Projektbemutatók és féléves összegzés (Pitch Day).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spacing w:after="240" w:before="24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Prezentáció, vizsgaértékelés.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félév során önállóan kidolgozott kulturális menedzsment és marketing projektterv nyilvános bemutatása, megvédése, valamint a fenntarthatósági és értékelési modellek összegzése.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Bibilográfia:</w:t>
            </w:r>
          </w:p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Bonet, Lluís – Schargorodsky, Héctor: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Managementul teatrelor. Modele și strategii pentru organizații și instituții de spectacol.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Editor coordonator: Carmen Croitoru. Traducere: Carmen Stanciu, Alexandru-Emil Avram. Pro Universitaria, București, 2017.  </w:t>
            </w:r>
          </w:p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Cserpes Attila: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Marketing és menedzsment a közművelődésben.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Kultúra 2.0 - Pannon Közművelődési Tudásbázis, 2011.  </w:t>
            </w:r>
          </w:p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Dér Cs. Dezső – Márkus Renáta: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Új utak a kulturális marketingben.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Művészeti Akadémia Művészetelméleti és Módszertani Kutatóintézet, Budapest, 2020.  </w:t>
            </w:r>
          </w:p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Juhász Erika (Dr.):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Projektmenedzsment a kultúrában.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Jurányi TIT Centrum, Nyíregyháza, 2011.  </w:t>
            </w:r>
          </w:p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Kolb, Bonita M.: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Marketing for Cultural Organizations.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Routledge, New York, 2013.  </w:t>
            </w:r>
          </w:p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Pavluska Valéria: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Kultúramarketing.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Akadémiai Kiadó, Budapest, 2014.  </w:t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Szabó Árpád: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Bevezetés a kulturális intézmények menedzsmentjébe.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UARTPress, Kolozsvár, 2013.  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Varbanova, Lidia: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 Strategic Management in the Arts.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Routledge, New York-London, 2013.  </w:t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Yeoman, Ian – Robertson, Martin – Ali-Knight, Jane – Drummond, Siobhan – McMahon-Beattie, Una: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Festival and Events Management. An international arts and culture perspective.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Elsevier Limited, 2004. </w:t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Gyenge Balázs: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marketing a közönség szemével. A színházi marketing észlelhető elemeinek bemutatása a szolgáltatásmarketing 7P rendszere alapján.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Cambria" w:cs="Cambria" w:eastAsia="Cambria" w:hAnsi="Cambria"/>
                  <w:color w:val="1155cc"/>
                  <w:sz w:val="20"/>
                  <w:szCs w:val="20"/>
                  <w:u w:val="single"/>
                  <w:rtl w:val="0"/>
                </w:rPr>
                <w:t xml:space="preserve">www.szinigazdasag.hu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Administratia Fondului Cultural National (AFCN): </w:t>
            </w:r>
            <w:hyperlink r:id="rId9">
              <w:r w:rsidDel="00000000" w:rsidR="00000000" w:rsidRPr="00000000">
                <w:rPr>
                  <w:rFonts w:ascii="Cambria" w:cs="Cambria" w:eastAsia="Cambria" w:hAnsi="Cambria"/>
                  <w:color w:val="1155cc"/>
                  <w:sz w:val="20"/>
                  <w:szCs w:val="20"/>
                  <w:u w:val="single"/>
                  <w:rtl w:val="0"/>
                </w:rPr>
                <w:t xml:space="preserve">www.afcn.ro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Uniunea Teatrală din România (UNITER): </w:t>
            </w:r>
            <w:hyperlink r:id="rId10">
              <w:r w:rsidDel="00000000" w:rsidR="00000000" w:rsidRPr="00000000">
                <w:rPr>
                  <w:rFonts w:ascii="Cambria" w:cs="Cambria" w:eastAsia="Cambria" w:hAnsi="Cambria"/>
                  <w:color w:val="1155cc"/>
                  <w:sz w:val="20"/>
                  <w:szCs w:val="20"/>
                  <w:u w:val="single"/>
                  <w:rtl w:val="0"/>
                </w:rPr>
                <w:t xml:space="preserve">www.uniter.ro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Nemzeti Kulturális Alap (NKA): </w:t>
            </w:r>
            <w:hyperlink r:id="rId11">
              <w:r w:rsidDel="00000000" w:rsidR="00000000" w:rsidRPr="00000000">
                <w:rPr>
                  <w:rFonts w:ascii="Cambria" w:cs="Cambria" w:eastAsia="Cambria" w:hAnsi="Cambria"/>
                  <w:color w:val="1155cc"/>
                  <w:sz w:val="20"/>
                  <w:szCs w:val="20"/>
                  <w:u w:val="single"/>
                  <w:rtl w:val="0"/>
                </w:rPr>
                <w:t xml:space="preserve">www.nka.hu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Bethlen Gábor Alapkezelő Zrt. (BGA): </w:t>
            </w:r>
            <w:hyperlink r:id="rId12">
              <w:r w:rsidDel="00000000" w:rsidR="00000000" w:rsidRPr="00000000">
                <w:rPr>
                  <w:rFonts w:ascii="Cambria" w:cs="Cambria" w:eastAsia="Cambria" w:hAnsi="Cambria"/>
                  <w:color w:val="1155cc"/>
                  <w:sz w:val="20"/>
                  <w:szCs w:val="20"/>
                  <w:u w:val="single"/>
                  <w:rtl w:val="0"/>
                </w:rPr>
                <w:t xml:space="preserve">www.bgazrt.hu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Emberi Erőforrások Minisztériuma (EMMI): </w:t>
            </w:r>
            <w:hyperlink r:id="rId13">
              <w:r w:rsidDel="00000000" w:rsidR="00000000" w:rsidRPr="00000000">
                <w:rPr>
                  <w:rFonts w:ascii="Cambria" w:cs="Cambria" w:eastAsia="Cambria" w:hAnsi="Cambria"/>
                  <w:color w:val="1155cc"/>
                  <w:sz w:val="20"/>
                  <w:szCs w:val="20"/>
                  <w:u w:val="single"/>
                  <w:rtl w:val="0"/>
                </w:rPr>
                <w:t xml:space="preserve">www.kormany.hu/emberi-eroforrasok-miniszteriuma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2235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tematikája és módszertana a hazai kulturális szektor, a független művészeti kezdeményezések, valamint a reprezentatív intézményi munkáltatók (színházak, kulturális központok, fesztiválok és ügynökségek) elvárásaival összhangban lett kidolgozva. A tananyag közvetlenül a munkaerőpiaci igényekre reflektál, hiszen olyan gyakorlati készségeket fejleszt, mint a kulturális projektek tervezése, a költségvetés-készítés és a hivatalos (AFCN) pályázatírás. A szakmai egyesületek elvárásainak megfelelően a kurzus kiemelt hangsúlyt fektet a közönségépítésre (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Audience Development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), a digitális marketingeszközök alkalmazására és a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storytellingre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A szemináriumok során alkalmazott gyakorlati szimulációk és a kölcsönös kritikai felülvizsgálat (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Peer Review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) módszertana hűen modellezik a kreatív iparágak mindennapi munkafolyamatait és etikai standardjait, hatékonyan felkészítve a hallgatókat a professzionális kulturális nyilvánosságban való helytállásra.</w:t>
            </w:r>
          </w:p>
        </w:tc>
      </w:tr>
    </w:tbl>
    <w:p w:rsidR="00000000" w:rsidDel="00000000" w:rsidP="00000000" w:rsidRDefault="00000000" w:rsidRPr="00000000" w14:paraId="0000011F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Értékelés</w:t>
      </w:r>
    </w:p>
    <w:p w:rsidR="00000000" w:rsidDel="00000000" w:rsidP="00000000" w:rsidRDefault="00000000" w:rsidRPr="00000000" w14:paraId="00000121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088116064"/>
        <w:tag w:val="goog_rdk_3"/>
      </w:sdtPr>
      <w:sdtContent>
        <w:tbl>
          <w:tblPr>
            <w:tblStyle w:val="Table10"/>
            <w:tblpPr w:leftFromText="180" w:rightFromText="180" w:topFromText="180" w:bottomFromText="180" w:vertAnchor="text" w:horzAnchor="text" w:tblpX="-429.00000000000034" w:tblpY="0"/>
            <w:tblW w:w="10492.0" w:type="dxa"/>
            <w:jc w:val="left"/>
            <w:tblInd w:w="-431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1985"/>
            <w:gridCol w:w="2837"/>
            <w:gridCol w:w="2692"/>
            <w:gridCol w:w="2978"/>
            <w:tblGridChange w:id="0">
              <w:tblGrid>
                <w:gridCol w:w="1985"/>
                <w:gridCol w:w="2837"/>
                <w:gridCol w:w="2692"/>
                <w:gridCol w:w="2978"/>
              </w:tblGrid>
            </w:tblGridChange>
          </w:tblGrid>
          <w:tr>
            <w:trPr>
              <w:cantSplit w:val="0"/>
              <w:trHeight w:val="284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22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Tevékenység típusa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23">
                <w:pPr>
                  <w:spacing w:after="0" w:line="240" w:lineRule="auto"/>
                  <w:ind w:left="46" w:right="-154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10.1 Értékelési kritériumok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24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10.2 Értékelési módszerek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25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10.3 Aránya a végső jegyben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26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10.4 Előadás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27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 kurzus könyvészetének és az esettanulmányoknak az ismerete, aktív órai munka.</w:t>
                </w:r>
              </w:p>
            </w:tc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28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vizsga</w:t>
                </w:r>
              </w:p>
            </w:tc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29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50%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2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2B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Egy előre egyeztetett szakmai szöveg bemutatása, vitaindító tartása a félév során</w:t>
                </w:r>
              </w:p>
            </w:tc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2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2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2E">
                <w:pPr>
                  <w:spacing w:after="0" w:line="240" w:lineRule="auto"/>
                  <w:ind w:right="-15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10.5 Szeminárium / </w:t>
                </w:r>
              </w:p>
              <w:p w:rsidR="00000000" w:rsidDel="00000000" w:rsidP="00000000" w:rsidRDefault="00000000" w:rsidRPr="00000000" w14:paraId="0000012F">
                <w:pPr>
                  <w:spacing w:after="0" w:line="240" w:lineRule="auto"/>
                  <w:ind w:right="-15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Labor</w:t>
                </w:r>
              </w:p>
            </w:tc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30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Aktív órai részvétel, feladatok elvégzése</w:t>
                </w:r>
              </w:p>
            </w:tc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31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beadandó projekt és annak bemutatása</w:t>
                </w:r>
              </w:p>
            </w:tc>
            <w:tc>
              <w:tcPr>
                <w:vMerge w:val="restart"/>
                <w:vAlign w:val="center"/>
              </w:tcPr>
              <w:p w:rsidR="00000000" w:rsidDel="00000000" w:rsidP="00000000" w:rsidRDefault="00000000" w:rsidRPr="00000000" w14:paraId="00000132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50%</w:t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3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Cambria" w:cs="Cambria" w:eastAsia="Cambria" w:hAnsi="Cambria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34">
                <w:pPr>
                  <w:spacing w:after="0" w:before="0" w:line="240" w:lineRule="auto"/>
                  <w:ind w:left="0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35">
                <w:pPr>
                  <w:spacing w:after="0" w:before="0" w:line="240" w:lineRule="auto"/>
                  <w:ind w:left="0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vAlign w:val="center"/>
              </w:tcPr>
              <w:p w:rsidR="00000000" w:rsidDel="00000000" w:rsidP="00000000" w:rsidRDefault="00000000" w:rsidRPr="00000000" w14:paraId="00000136">
                <w:pPr>
                  <w:spacing w:after="0" w:before="0" w:line="240" w:lineRule="auto"/>
                  <w:ind w:left="0" w:firstLine="0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84" w:hRule="atLeast"/>
              <w:tblHeader w:val="0"/>
            </w:trPr>
            <w:tc>
              <w:tcPr>
                <w:gridSpan w:val="4"/>
                <w:vAlign w:val="center"/>
              </w:tcPr>
              <w:p w:rsidR="00000000" w:rsidDel="00000000" w:rsidP="00000000" w:rsidRDefault="00000000" w:rsidRPr="00000000" w14:paraId="00000137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10.6 A teljesítmény minimumkövetelményei</w:t>
                </w:r>
              </w:p>
            </w:tc>
          </w:tr>
          <w:tr>
            <w:trPr>
              <w:cantSplit w:val="0"/>
              <w:trHeight w:val="1252" w:hRule="atLeast"/>
              <w:tblHeader w:val="0"/>
            </w:trPr>
            <w:tc>
              <w:tcPr>
                <w:gridSpan w:val="4"/>
              </w:tcPr>
              <w:p w:rsidR="00000000" w:rsidDel="00000000" w:rsidP="00000000" w:rsidRDefault="00000000" w:rsidRPr="00000000" w14:paraId="0000013B">
                <w:pPr>
                  <w:spacing w:after="0" w:line="240" w:lineRule="auto"/>
                  <w:rPr>
                    <w:rFonts w:ascii="Cambria" w:cs="Cambria" w:eastAsia="Cambria" w:hAnsi="Cambri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sz w:val="20"/>
                    <w:szCs w:val="20"/>
                    <w:rtl w:val="0"/>
                  </w:rPr>
                  <w:t xml:space="preserve">Rendszeres és aktív részvétel az előadásokon és szemináriumokon: a részvétel kötelező, mégpedig az előadások legalább 70%-án (minimum 10 alkalom) és a szemináriumok legalább 90%-án. A félév teljesítéséhez elengedhetetlen a megvitatott szakirodalom alapos ismerete, a hazai és nemzetközi kulturális szférában való alapvető tájékozottság, valamint a félév során egy kijelölt szakmai szöveg önálló bemutatása és a vitaindító sikeres megtartása az előadáson. Az átmenő osztályzat megszerzésének feltétele a vizsgakövetelmények teljesítése, a gyakorlati feladatok elvégzése, valamint a szeminárium keretében kidolgozott kulturális menedzsment és marketing projektterv határidőre történő írásos beadása és szóbeli prezentálása.</w:t>
                </w:r>
              </w:p>
            </w:tc>
          </w:tr>
        </w:tbl>
      </w:sdtContent>
    </w:sdt>
    <w:p w:rsidR="00000000" w:rsidDel="00000000" w:rsidP="00000000" w:rsidRDefault="00000000" w:rsidRPr="00000000" w14:paraId="0000013F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111. SDG ikonok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sdt>
      <w:sdtPr>
        <w:lock w:val="contentLocked"/>
        <w:id w:val="1661358760"/>
        <w:tag w:val="goog_rdk_4"/>
      </w:sdtPr>
      <w:sdtContent>
        <w:tbl>
          <w:tblPr>
            <w:tblStyle w:val="Table11"/>
            <w:tblW w:w="10491.0" w:type="dxa"/>
            <w:jc w:val="left"/>
            <w:tblInd w:w="-431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  <w:tblGridChange w:id="0">
              <w:tblGrid>
                <w:gridCol w:w="1165"/>
                <w:gridCol w:w="1166"/>
                <w:gridCol w:w="1166"/>
                <w:gridCol w:w="1165"/>
                <w:gridCol w:w="1166"/>
                <w:gridCol w:w="1166"/>
                <w:gridCol w:w="1165"/>
                <w:gridCol w:w="1166"/>
                <w:gridCol w:w="1166"/>
              </w:tblGrid>
            </w:tblGridChange>
          </w:tblGrid>
          <w:tr>
            <w:trPr>
              <w:cantSplit w:val="0"/>
              <w:trHeight w:val="1037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42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  <w:r w:rsidDel="00000000" w:rsidR="00000000" w:rsidRPr="00000000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13971</wp:posOffset>
                      </wp:positionH>
                      <wp:positionV relativeFrom="paragraph">
                        <wp:posOffset>34925</wp:posOffset>
                      </wp:positionV>
                      <wp:extent cx="615950" cy="611505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4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15950" cy="6115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gridSpan w:val="8"/>
                <w:vAlign w:val="center"/>
              </w:tcPr>
              <w:p w:rsidR="00000000" w:rsidDel="00000000" w:rsidP="00000000" w:rsidRDefault="00000000" w:rsidRPr="00000000" w14:paraId="00000143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A fenntartható fejlődés általános ikonja</w:t>
                </w:r>
              </w:p>
            </w:tc>
          </w:tr>
          <w:tr>
            <w:trPr>
              <w:cantSplit w:val="0"/>
              <w:trHeight w:val="1124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4B">
                <w:pPr>
                  <w:ind w:right="-537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4C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4D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4E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4F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0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1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2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3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124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54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5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6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7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8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9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A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B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5C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5D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484793911"/>
        <w:tag w:val="goog_rdk_5"/>
      </w:sdtPr>
      <w:sdtContent>
        <w:tbl>
          <w:tblPr>
            <w:tblStyle w:val="Table12"/>
            <w:tblW w:w="10491.0" w:type="dxa"/>
            <w:jc w:val="center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400"/>
          </w:tblPr>
          <w:tblGrid>
            <w:gridCol w:w="2553"/>
            <w:gridCol w:w="2971"/>
            <w:gridCol w:w="998"/>
            <w:gridCol w:w="3969"/>
            <w:tblGridChange w:id="0">
              <w:tblGrid>
                <w:gridCol w:w="2553"/>
                <w:gridCol w:w="2971"/>
                <w:gridCol w:w="998"/>
                <w:gridCol w:w="3969"/>
              </w:tblGrid>
            </w:tblGridChange>
          </w:tblGrid>
          <w:tr>
            <w:trPr>
              <w:cantSplit w:val="0"/>
              <w:trHeight w:val="1467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60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Kitöltés időpontja:</w:t>
                </w:r>
              </w:p>
              <w:p w:rsidR="00000000" w:rsidDel="00000000" w:rsidP="00000000" w:rsidRDefault="00000000" w:rsidRPr="00000000" w14:paraId="00000161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62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63">
                <w:pPr>
                  <w:spacing w:line="480" w:lineRule="auto"/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64">
                <w:pPr>
                  <w:spacing w:line="480" w:lineRule="auto"/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Előadás felelőse:</w:t>
                </w:r>
              </w:p>
              <w:p w:rsidR="00000000" w:rsidDel="00000000" w:rsidP="00000000" w:rsidRDefault="00000000" w:rsidRPr="00000000" w14:paraId="00000165">
                <w:pPr>
                  <w:spacing w:after="240" w:line="480" w:lineRule="auto"/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Dr. Márton Imola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67">
                <w:pPr>
                  <w:spacing w:line="480" w:lineRule="auto"/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Szeminárium felelőse:</w:t>
                </w:r>
              </w:p>
              <w:p w:rsidR="00000000" w:rsidDel="00000000" w:rsidP="00000000" w:rsidRDefault="00000000" w:rsidRPr="00000000" w14:paraId="00000168">
                <w:pPr>
                  <w:spacing w:after="240" w:line="480" w:lineRule="auto"/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Dr. Demeter Katalin</w:t>
                </w:r>
              </w:p>
            </w:tc>
          </w:tr>
          <w:tr>
            <w:trPr>
              <w:cantSplit w:val="0"/>
              <w:trHeight w:val="766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169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6A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16C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605" w:hRule="atLeast"/>
              <w:tblHeader w:val="0"/>
            </w:trPr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6D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Az intézeti jóváhagyás dátuma:</w:t>
                </w:r>
              </w:p>
              <w:p w:rsidR="00000000" w:rsidDel="00000000" w:rsidP="00000000" w:rsidRDefault="00000000" w:rsidRPr="00000000" w14:paraId="0000016E">
                <w:pPr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...</w:t>
                </w:r>
              </w:p>
            </w:tc>
            <w:tc>
              <w:tcPr>
                <w:gridSpan w:val="2"/>
                <w:vAlign w:val="center"/>
              </w:tcPr>
              <w:p w:rsidR="00000000" w:rsidDel="00000000" w:rsidP="00000000" w:rsidRDefault="00000000" w:rsidRPr="00000000" w14:paraId="00000170">
                <w:pPr>
                  <w:spacing w:line="480" w:lineRule="auto"/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Intézetigazgató:</w:t>
                </w:r>
              </w:p>
              <w:p w:rsidR="00000000" w:rsidDel="00000000" w:rsidP="00000000" w:rsidRDefault="00000000" w:rsidRPr="00000000" w14:paraId="00000171">
                <w:pPr>
                  <w:jc w:val="center"/>
                  <w:rPr>
                    <w:rFonts w:ascii="Cambria" w:cs="Cambria" w:eastAsia="Cambria" w:hAnsi="Cambria"/>
                  </w:rPr>
                </w:pPr>
                <w:r w:rsidDel="00000000" w:rsidR="00000000" w:rsidRPr="00000000">
                  <w:rPr>
                    <w:rFonts w:ascii="Cambria" w:cs="Cambria" w:eastAsia="Cambria" w:hAnsi="Cambria"/>
                    <w:rtl w:val="0"/>
                  </w:rPr>
                  <w:t xml:space="preserve">....................</w:t>
                </w:r>
              </w:p>
            </w:tc>
          </w:tr>
        </w:tbl>
      </w:sdtContent>
    </w:sdt>
    <w:p w:rsidR="00000000" w:rsidDel="00000000" w:rsidP="00000000" w:rsidRDefault="00000000" w:rsidRPr="00000000" w14:paraId="00000173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81">
      <w:pPr>
        <w:spacing w:after="0" w:line="276" w:lineRule="auto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i w:val="1"/>
            <w:iCs w:val="1"/>
            <w:color w:val="467886"/>
            <w:sz w:val="20"/>
            <w:szCs w:val="20"/>
            <w:u w:val="singl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i w:val="1"/>
          <w:iCs w:val="1"/>
          <w:sz w:val="20"/>
          <w:szCs w:val="20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nka.hu" TargetMode="External"/><Relationship Id="rId10" Type="http://schemas.openxmlformats.org/officeDocument/2006/relationships/hyperlink" Target="http://www.uniter.ro" TargetMode="External"/><Relationship Id="rId13" Type="http://schemas.openxmlformats.org/officeDocument/2006/relationships/hyperlink" Target="http://www.kormany.hu/emberi-eroforrasok-miniszteriuma" TargetMode="External"/><Relationship Id="rId12" Type="http://schemas.openxmlformats.org/officeDocument/2006/relationships/hyperlink" Target="http://www.bgazrt.h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afcn.ro" TargetMode="External"/><Relationship Id="rId14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://www.szinigazdasag.h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pQ37LPdMWvuftxZxNyFGT0hQkw==">CgMxLjAaHwoBMBIaChgICVIUChJ0YWJsZS5yeDR2bGl0cXZiOWoaHwoBMRIaChgICVIUChJ0YWJsZS5jN3JyaWxneHkzZDkaHwoBMhIaChgICVIUChJ0YWJsZS55cTN4a2h4NWU4OTkaHwoBMxIaChgICVIUChJ0YWJsZS5hYWkyYTJjYWhtbmoaHwoBNBIaChgICVIUChJ0YWJsZS5mbzB5M2Ricjloa2caHwoBNRIaChgICVIUChJ0YWJsZS5vNzBlaTlkdjN1ZWI4AHIhMTRsLUFxOFNWS1lYMWJtU3lRZkhDZFdrN3dzQVRXeGt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>MediaServiceImageTags</vt:lpwstr>
  </property>
</Properties>
</file>